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34" w:rsidRPr="002073E0" w:rsidRDefault="00FE5D34" w:rsidP="00FE5D34">
      <w:pPr>
        <w:tabs>
          <w:tab w:val="left" w:pos="708"/>
        </w:tabs>
        <w:suppressAutoHyphens/>
        <w:outlineLvl w:val="0"/>
        <w:rPr>
          <w:color w:val="000000"/>
          <w:position w:val="-1"/>
          <w:sz w:val="28"/>
          <w:szCs w:val="28"/>
          <w:lang w:val="en-US" w:bidi="en-US"/>
        </w:rPr>
      </w:pP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</w:pPr>
      <w:r w:rsidRPr="002073E0">
        <w:rPr>
          <w:position w:val="-1"/>
          <w:lang w:bidi="en-US"/>
        </w:rPr>
        <w:t>МИНИСТЕРСТВО КУЛЬТУРЫ РОССИЙСКОЙ ФЕДЕРАЦИИ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>«МОСКОВСКИЙ ГОСУДАРСТВЕННЫЙ ИНСТИТУТ КУЛЬТУРЫ»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>Филиал федерального государственного бюджетного образовательного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 xml:space="preserve"> учреждения высшего образования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 xml:space="preserve"> «Московский государственный институт культуры»</w:t>
      </w:r>
    </w:p>
    <w:p w:rsidR="00FE5D34" w:rsidRPr="002073E0" w:rsidRDefault="00FE5D34" w:rsidP="00FE5D34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lang w:bidi="en-US"/>
        </w:rPr>
      </w:pPr>
      <w:r w:rsidRPr="002073E0">
        <w:rPr>
          <w:position w:val="-1"/>
          <w:lang w:bidi="en-US"/>
        </w:rPr>
        <w:t>в городе Рязань</w:t>
      </w:r>
    </w:p>
    <w:p w:rsidR="0097270F" w:rsidRDefault="0097270F" w:rsidP="0097270F">
      <w:pPr>
        <w:rPr>
          <w:b/>
          <w:bCs/>
          <w:sz w:val="28"/>
          <w:szCs w:val="22"/>
        </w:rPr>
      </w:pPr>
    </w:p>
    <w:p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</w:p>
          <w:p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:rsidTr="0097270F">
        <w:tc>
          <w:tcPr>
            <w:tcW w:w="5637" w:type="dxa"/>
          </w:tcPr>
          <w:p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:rsidR="0097270F" w:rsidRDefault="0097270F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</w:t>
      </w:r>
    </w:p>
    <w:p w:rsidR="0097270F" w:rsidRDefault="0097270F" w:rsidP="0097270F">
      <w:pPr>
        <w:jc w:val="center"/>
        <w:rPr>
          <w:rFonts w:eastAsiaTheme="minorHAnsi"/>
          <w:b/>
          <w:szCs w:val="28"/>
        </w:rPr>
      </w:pPr>
      <w:r>
        <w:rPr>
          <w:b/>
          <w:szCs w:val="28"/>
        </w:rPr>
        <w:t xml:space="preserve"> </w:t>
      </w:r>
      <w:r w:rsidR="007A6903">
        <w:rPr>
          <w:b/>
          <w:szCs w:val="28"/>
        </w:rPr>
        <w:t>УЧЕБНАЯ</w:t>
      </w:r>
      <w:r>
        <w:rPr>
          <w:b/>
          <w:szCs w:val="28"/>
        </w:rPr>
        <w:t xml:space="preserve"> (</w:t>
      </w:r>
      <w:r w:rsidR="007A6903">
        <w:rPr>
          <w:b/>
          <w:szCs w:val="28"/>
        </w:rPr>
        <w:t>ОЗНАКОМИТЕЛЬНАЯ</w:t>
      </w:r>
      <w:r>
        <w:rPr>
          <w:b/>
          <w:szCs w:val="28"/>
        </w:rPr>
        <w:t>) ПРАКТИКА</w:t>
      </w:r>
    </w:p>
    <w:p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Менеджмент и технологии социально-культурной деятельности</w:t>
      </w:r>
    </w:p>
    <w:p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:rsidR="0097270F" w:rsidRDefault="0097270F" w:rsidP="0097270F">
      <w:pPr>
        <w:jc w:val="center"/>
        <w:rPr>
          <w:bCs/>
        </w:rPr>
      </w:pPr>
      <w:r>
        <w:rPr>
          <w:b/>
        </w:rPr>
        <w:t>Форма обучения</w:t>
      </w:r>
      <w:r>
        <w:t xml:space="preserve"> очная, заочная</w:t>
      </w:r>
    </w:p>
    <w:p w:rsidR="0097270F" w:rsidRDefault="0097270F" w:rsidP="0097270F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ind w:left="-142" w:hanging="851"/>
        <w:jc w:val="center"/>
        <w:rPr>
          <w:b/>
          <w:bCs/>
          <w:lang w:eastAsia="zh-CN"/>
        </w:rPr>
      </w:pPr>
    </w:p>
    <w:p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:rsidR="007A6903" w:rsidRDefault="007A6903" w:rsidP="007A6903">
      <w:pPr>
        <w:autoSpaceDE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(ознакомительная) практика бакалавров, обучающихся по направлению 51.03.03 «Социально-культурная деятельность», профиль подготовки: «Менеджмент и технологии социально-культурной деятельности», проводится в государственных учреждениях и </w:t>
      </w:r>
      <w:proofErr w:type="gramStart"/>
      <w:r>
        <w:rPr>
          <w:color w:val="000000"/>
          <w:sz w:val="28"/>
          <w:szCs w:val="28"/>
        </w:rPr>
        <w:t>профильных министерствах</w:t>
      </w:r>
      <w:proofErr w:type="gramEnd"/>
      <w:r>
        <w:rPr>
          <w:color w:val="000000"/>
          <w:sz w:val="28"/>
          <w:szCs w:val="28"/>
        </w:rPr>
        <w:t xml:space="preserve"> и ведомствах, а также в коммерческих организациях социальной, культурной, образовательной и досуговой сферы, обладающих необходимым </w:t>
      </w:r>
      <w:r>
        <w:rPr>
          <w:sz w:val="28"/>
          <w:szCs w:val="28"/>
        </w:rPr>
        <w:t xml:space="preserve">кадровым и научно-техническим потенциалом. </w:t>
      </w:r>
    </w:p>
    <w:p w:rsidR="007A6903" w:rsidRDefault="007A6903" w:rsidP="007A6903">
      <w:pPr>
        <w:pStyle w:val="af1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 практики:</w:t>
      </w:r>
      <w:bookmarkStart w:id="0" w:name="_Hlk100757297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нацелена на обеспечение взаимосвязи между теоретическими знаниями, полученными при усвоении образовательной программы в рамках специальности «Социально-культурная деятельность» и применении этих знаний в ходе практической работы.</w:t>
      </w:r>
    </w:p>
    <w:bookmarkEnd w:id="0"/>
    <w:p w:rsidR="007A6903" w:rsidRDefault="007A6903" w:rsidP="007A6903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</w:p>
    <w:p w:rsidR="007A6903" w:rsidRDefault="007A6903" w:rsidP="007A6903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практики: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обучающихся с организацией и осуществлением социально-культурной деятельности в учреждениях и организациях разного типа;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опытом работы учреждений социально-культурной направленности;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Закрепление, углубление и творческое применение знаний, умений и навыков, усвоенных обучающимся в ходе изучения общенаучных и специальных дисциплин;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Изучение, осмысление и анализ управленческой, организационной, творческой, постановочной сторон деятельности базового учреждения культуры;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теоретической и практической помо</w:t>
      </w:r>
      <w:r>
        <w:rPr>
          <w:sz w:val="28"/>
          <w:szCs w:val="28"/>
        </w:rPr>
        <w:softHyphen/>
        <w:t>щи в управлении, организации и реализации конкретных социально-культурных проектов в различных сферах деятельности базового учреждения.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Накопление личного методического опыта в области организационной и художественно-постановочной деятельности.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 передового опыта учреждений культуры и внедрение в практику современных методов организации социально-культурной деятельности;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практической помощи базовому учреждению культуры его деятельности.</w:t>
      </w:r>
    </w:p>
    <w:p w:rsidR="009921C4" w:rsidRDefault="009921C4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:rsidR="009921C4" w:rsidRDefault="009921C4" w:rsidP="009921C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результате прохождения учебной практики обучающийся должен приобрести комплекс знаний, практических навыков, умений, компетенций. </w:t>
      </w:r>
    </w:p>
    <w:p w:rsidR="007A6903" w:rsidRDefault="007A6903" w:rsidP="007A6903">
      <w:pPr>
        <w:ind w:firstLine="567"/>
        <w:jc w:val="both"/>
        <w:rPr>
          <w:b/>
          <w:sz w:val="28"/>
          <w:szCs w:val="28"/>
          <w:lang w:eastAsia="en-US"/>
        </w:rPr>
      </w:pPr>
      <w:bookmarkStart w:id="1" w:name="_Hlk100758057"/>
      <w:bookmarkStart w:id="2" w:name="_Hlk164630632"/>
      <w:r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A6903" w:rsidRDefault="007A6903" w:rsidP="007A6903">
      <w:pPr>
        <w:pStyle w:val="afd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у обучающихся формирую</w:t>
      </w:r>
      <w:r w:rsidR="00C95CF5">
        <w:rPr>
          <w:sz w:val="28"/>
          <w:szCs w:val="28"/>
        </w:rPr>
        <w:t>тся следующие компетенции: ПК-2, ПК-13.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A6903" w:rsidTr="007A6903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A6903" w:rsidRPr="00F55804" w:rsidTr="007A6903">
        <w:trPr>
          <w:trHeight w:val="22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rPr>
                <w:bCs/>
              </w:rPr>
            </w:pPr>
            <w:r w:rsidRPr="00F55804"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pStyle w:val="afd"/>
              <w:spacing w:line="276" w:lineRule="auto"/>
              <w:rPr>
                <w:b/>
                <w:szCs w:val="24"/>
              </w:rPr>
            </w:pPr>
            <w:r w:rsidRPr="00F55804">
              <w:rPr>
                <w:b/>
                <w:szCs w:val="24"/>
              </w:rPr>
              <w:t>ПК-2</w:t>
            </w:r>
          </w:p>
          <w:p w:rsidR="007A6903" w:rsidRPr="00F55804" w:rsidRDefault="007A6903">
            <w:pPr>
              <w:pStyle w:val="afd"/>
              <w:spacing w:line="276" w:lineRule="auto"/>
              <w:rPr>
                <w:szCs w:val="24"/>
              </w:rPr>
            </w:pPr>
            <w:r w:rsidRPr="00F55804">
              <w:rPr>
                <w:szCs w:val="24"/>
              </w:rPr>
              <w:t>Готов использовать</w:t>
            </w:r>
          </w:p>
          <w:p w:rsidR="007A6903" w:rsidRPr="00F55804" w:rsidRDefault="007A690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t>технологии СКД (средства, формы, методы и т.д.) для проведения информационно</w:t>
            </w:r>
            <w:r w:rsidRPr="00F55804">
              <w:softHyphen/>
              <w:t xml:space="preserve"> просветительной работы, организации досуга населения, обеспечения условий для реализации социально</w:t>
            </w:r>
            <w:r w:rsidRPr="00F55804"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5804">
              <w:rPr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:rsidR="007A6903" w:rsidRPr="00F55804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5804"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A6903" w:rsidRPr="00F55804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5804"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A6903" w:rsidRPr="00F55804" w:rsidTr="007A6903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55804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A6903" w:rsidRPr="00F55804" w:rsidRDefault="007A6903">
            <w:pPr>
              <w:pStyle w:val="af1"/>
              <w:spacing w:line="276" w:lineRule="auto"/>
              <w:ind w:left="0" w:firstLine="25"/>
              <w:rPr>
                <w:color w:val="000000"/>
                <w:lang w:eastAsia="en-US"/>
              </w:rPr>
            </w:pPr>
            <w:r w:rsidRPr="00F55804">
              <w:rPr>
                <w:color w:val="000000"/>
                <w:lang w:eastAsia="en-US"/>
              </w:rPr>
              <w:t xml:space="preserve"> </w:t>
            </w:r>
            <w:r w:rsidRPr="00F55804">
              <w:rPr>
                <w:lang w:eastAsia="en-US"/>
              </w:rPr>
              <w:softHyphen/>
              <w:t xml:space="preserve"> технологические основы СКД</w:t>
            </w:r>
          </w:p>
        </w:tc>
      </w:tr>
      <w:tr w:rsidR="007A6903" w:rsidRPr="00F55804" w:rsidTr="007A6903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 w:rsidRPr="00F55804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A6903" w:rsidRPr="00F55804" w:rsidRDefault="007A6903">
            <w:pPr>
              <w:pStyle w:val="afd"/>
              <w:spacing w:line="276" w:lineRule="auto"/>
              <w:rPr>
                <w:szCs w:val="24"/>
              </w:rPr>
            </w:pPr>
            <w:r w:rsidRPr="00F55804">
              <w:rPr>
                <w:szCs w:val="24"/>
              </w:rPr>
              <w:softHyphen/>
              <w:t xml:space="preserve"> опознавать технологии СКД в разных сферах деятельности;</w:t>
            </w:r>
          </w:p>
          <w:p w:rsidR="007A6903" w:rsidRPr="00F55804" w:rsidRDefault="007A6903">
            <w:pPr>
              <w:pStyle w:val="afd"/>
              <w:spacing w:line="276" w:lineRule="auto"/>
              <w:rPr>
                <w:szCs w:val="24"/>
              </w:rPr>
            </w:pPr>
            <w:r w:rsidRPr="00F55804">
              <w:rPr>
                <w:szCs w:val="24"/>
              </w:rPr>
              <w:softHyphen/>
              <w:t xml:space="preserve"> различать особенности</w:t>
            </w:r>
          </w:p>
          <w:p w:rsidR="007A6903" w:rsidRPr="00F55804" w:rsidRDefault="007A6903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 w:rsidRPr="00F55804"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7A6903" w:rsidRPr="00F55804" w:rsidTr="007A6903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Pr="00F55804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Pr="00F55804" w:rsidRDefault="007A6903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F55804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A6903" w:rsidRPr="00F55804" w:rsidRDefault="007A6903" w:rsidP="007A6903">
            <w:pPr>
              <w:numPr>
                <w:ilvl w:val="0"/>
                <w:numId w:val="40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 w:rsidRPr="00F55804">
              <w:softHyphen/>
              <w:t xml:space="preserve"> </w:t>
            </w:r>
            <w:r w:rsidRPr="00F55804"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</w:tbl>
    <w:bookmarkEnd w:id="1"/>
    <w:p w:rsidR="007A6903" w:rsidRPr="00F55804" w:rsidRDefault="00F55804" w:rsidP="007A6903">
      <w:pPr>
        <w:ind w:firstLine="567"/>
        <w:jc w:val="both"/>
        <w:rPr>
          <w:rFonts w:cstheme="minorBidi"/>
          <w:lang w:eastAsia="en-US"/>
        </w:rPr>
      </w:pPr>
      <w:r w:rsidRPr="00F55804">
        <w:rPr>
          <w:rFonts w:cstheme="minorBidi"/>
          <w:lang w:eastAsia="en-US"/>
        </w:rPr>
        <w:t>ПК-13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F55804" w:rsidRPr="00F55804" w:rsidTr="00853ED1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5804" w:rsidRPr="00F55804" w:rsidRDefault="00F55804" w:rsidP="00853ED1">
            <w:pPr>
              <w:jc w:val="center"/>
              <w:rPr>
                <w:b/>
                <w:bCs/>
              </w:rPr>
            </w:pPr>
            <w:r w:rsidRPr="00F55804">
              <w:rPr>
                <w:rFonts w:eastAsia="Calibri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5804" w:rsidRPr="00F55804" w:rsidRDefault="00F55804" w:rsidP="00853ED1">
            <w:pPr>
              <w:rPr>
                <w:b/>
                <w:bCs/>
              </w:rPr>
            </w:pPr>
            <w:r w:rsidRPr="00F55804">
              <w:rPr>
                <w:rFonts w:eastAsia="Calibri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5804" w:rsidRPr="00F55804" w:rsidRDefault="00F55804" w:rsidP="00853ED1">
            <w:pPr>
              <w:jc w:val="center"/>
              <w:rPr>
                <w:b/>
                <w:bCs/>
              </w:rPr>
            </w:pPr>
            <w:r w:rsidRPr="00F55804">
              <w:rPr>
                <w:rFonts w:eastAsia="Calibri"/>
                <w:b/>
              </w:rPr>
              <w:t>Код и наименование индикатора достижения универсальной компетенции</w:t>
            </w:r>
          </w:p>
        </w:tc>
      </w:tr>
      <w:tr w:rsidR="00F55804" w:rsidRPr="00F55804" w:rsidTr="00F55804">
        <w:trPr>
          <w:trHeight w:val="11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rStyle w:val="FontStyle51"/>
                <w:sz w:val="24"/>
                <w:szCs w:val="24"/>
              </w:rPr>
            </w:pPr>
            <w:r w:rsidRPr="00F55804">
              <w:rPr>
                <w:rStyle w:val="FontStyle51"/>
                <w:sz w:val="24"/>
                <w:szCs w:val="24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ind w:left="-23"/>
              <w:rPr>
                <w:rStyle w:val="FontStyle51"/>
                <w:b/>
                <w:bCs/>
                <w:sz w:val="24"/>
                <w:szCs w:val="24"/>
              </w:rPr>
            </w:pPr>
            <w:r w:rsidRPr="00F55804">
              <w:rPr>
                <w:rStyle w:val="FontStyle51"/>
                <w:b/>
                <w:bCs/>
                <w:sz w:val="24"/>
                <w:szCs w:val="24"/>
              </w:rPr>
              <w:t xml:space="preserve">ПК-13. 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ind w:left="-23"/>
              <w:rPr>
                <w:rStyle w:val="FontStyle51"/>
                <w:b/>
                <w:bCs/>
                <w:sz w:val="24"/>
                <w:szCs w:val="24"/>
              </w:rPr>
            </w:pPr>
            <w:r w:rsidRPr="00F55804">
              <w:rPr>
                <w:color w:val="000000"/>
              </w:rPr>
              <w:t xml:space="preserve"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</w:t>
            </w:r>
            <w:r w:rsidRPr="00F55804">
              <w:rPr>
                <w:color w:val="000000"/>
              </w:rPr>
              <w:lastRenderedPageBreak/>
              <w:t>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lastRenderedPageBreak/>
              <w:t xml:space="preserve">ПК-13.1. 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 xml:space="preserve">ПК-13.2. 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 xml:space="preserve">ПК-13.3. 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ПК-13.4.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lastRenderedPageBreak/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ПК-13.5.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804">
              <w:rPr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F55804" w:rsidRPr="00F55804" w:rsidTr="00F5580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04" w:rsidRPr="00F55804" w:rsidRDefault="00F55804" w:rsidP="00F5580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04" w:rsidRPr="00F55804" w:rsidRDefault="00F55804" w:rsidP="00F5580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55804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F55804" w:rsidRPr="00F55804" w:rsidRDefault="00F55804" w:rsidP="00F55804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F55804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 федеральной и региональной культурной политики;</w:t>
            </w:r>
          </w:p>
          <w:p w:rsidR="00F55804" w:rsidRPr="00F55804" w:rsidRDefault="00F55804" w:rsidP="00F55804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F55804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F55804" w:rsidRPr="00F55804" w:rsidRDefault="00F55804" w:rsidP="00F55804">
            <w:pPr>
              <w:pStyle w:val="af1"/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F55804">
              <w:rPr>
                <w:color w:val="000000"/>
              </w:rPr>
              <w:t xml:space="preserve">­ методы прикладного научного исследования </w:t>
            </w:r>
          </w:p>
        </w:tc>
      </w:tr>
      <w:tr w:rsidR="00F55804" w:rsidRPr="00F55804" w:rsidTr="00F5580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04" w:rsidRPr="00F55804" w:rsidRDefault="00F55804" w:rsidP="00F5580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04" w:rsidRPr="00F55804" w:rsidRDefault="00F55804" w:rsidP="00F5580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55804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F55804" w:rsidRPr="00F55804" w:rsidRDefault="00F55804" w:rsidP="00F55804">
            <w:pPr>
              <w:pStyle w:val="afd"/>
              <w:rPr>
                <w:szCs w:val="24"/>
              </w:rPr>
            </w:pPr>
            <w:r w:rsidRPr="00F55804">
              <w:rPr>
                <w:szCs w:val="24"/>
              </w:rPr>
              <w:t>­ определять значение</w:t>
            </w:r>
          </w:p>
          <w:p w:rsidR="00F55804" w:rsidRPr="00F55804" w:rsidRDefault="00F55804" w:rsidP="00F55804">
            <w:pPr>
              <w:pStyle w:val="afd"/>
              <w:rPr>
                <w:szCs w:val="24"/>
              </w:rPr>
            </w:pPr>
            <w:r w:rsidRPr="00F55804"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:rsidR="00F55804" w:rsidRPr="00F55804" w:rsidRDefault="00F55804" w:rsidP="00F55804">
            <w:pPr>
              <w:pStyle w:val="af1"/>
              <w:autoSpaceDE w:val="0"/>
              <w:autoSpaceDN w:val="0"/>
              <w:adjustRightInd w:val="0"/>
              <w:ind w:left="0"/>
              <w:rPr>
                <w:kern w:val="28"/>
              </w:rPr>
            </w:pPr>
            <w:r w:rsidRPr="00F55804">
              <w:rPr>
                <w:kern w:val="28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F55804" w:rsidRPr="00F55804" w:rsidTr="00853ED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04" w:rsidRPr="00F55804" w:rsidRDefault="00F55804" w:rsidP="00F5580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04" w:rsidRPr="00F55804" w:rsidRDefault="00F55804" w:rsidP="00F5580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55804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F55804" w:rsidRPr="00F55804" w:rsidRDefault="00F55804" w:rsidP="00F55804">
            <w:pPr>
              <w:autoSpaceDE w:val="0"/>
              <w:autoSpaceDN w:val="0"/>
              <w:adjustRightInd w:val="0"/>
              <w:rPr>
                <w:kern w:val="28"/>
              </w:rPr>
            </w:pPr>
            <w:r w:rsidRPr="00F55804">
              <w:rPr>
                <w:kern w:val="28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</w:tbl>
    <w:p w:rsidR="00F55804" w:rsidRDefault="00F55804" w:rsidP="007A6903">
      <w:pPr>
        <w:ind w:firstLine="567"/>
        <w:jc w:val="both"/>
        <w:rPr>
          <w:rFonts w:cstheme="minorBidi"/>
          <w:sz w:val="28"/>
          <w:szCs w:val="28"/>
          <w:lang w:eastAsia="en-US"/>
        </w:rPr>
      </w:pPr>
    </w:p>
    <w:bookmarkEnd w:id="2"/>
    <w:p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820"/>
      </w:tblGrid>
      <w:tr w:rsidR="009149A2" w:rsidRPr="00402895" w:rsidTr="0014559D">
        <w:tc>
          <w:tcPr>
            <w:tcW w:w="927" w:type="dxa"/>
            <w:vAlign w:val="center"/>
          </w:tcPr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820" w:type="dxa"/>
          </w:tcPr>
          <w:p w:rsidR="00BE0BDF" w:rsidRDefault="00BE0BDF" w:rsidP="007152B4">
            <w:pPr>
              <w:jc w:val="center"/>
              <w:rPr>
                <w:bCs/>
              </w:rPr>
            </w:pPr>
          </w:p>
          <w:p w:rsidR="00BE0BDF" w:rsidRDefault="00BE0BDF" w:rsidP="007152B4">
            <w:pPr>
              <w:jc w:val="center"/>
              <w:rPr>
                <w:bCs/>
              </w:rPr>
            </w:pPr>
          </w:p>
          <w:p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:rsidTr="0014559D">
        <w:trPr>
          <w:trHeight w:val="1809"/>
        </w:trPr>
        <w:tc>
          <w:tcPr>
            <w:tcW w:w="927" w:type="dxa"/>
            <w:vMerge w:val="restart"/>
          </w:tcPr>
          <w:p w:rsidR="0062266C" w:rsidRPr="00F55804" w:rsidRDefault="00EE5EBA" w:rsidP="00674181">
            <w:r w:rsidRPr="00F55804">
              <w:t>П</w:t>
            </w:r>
            <w:r w:rsidR="00810BA4" w:rsidRPr="00F55804">
              <w:t>К-</w:t>
            </w:r>
            <w:r w:rsidR="007A6903" w:rsidRPr="00F55804">
              <w:t>2</w:t>
            </w:r>
            <w:r w:rsidR="00F55804" w:rsidRPr="00F55804">
              <w:t>,</w:t>
            </w:r>
          </w:p>
          <w:p w:rsidR="00F55804" w:rsidRPr="00F55804" w:rsidRDefault="00F55804" w:rsidP="00674181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 w:val="restart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>о целях и задачах практики, сроках и порядке ее прохождения</w:t>
            </w:r>
          </w:p>
        </w:tc>
      </w:tr>
      <w:tr w:rsidR="009149A2" w:rsidRPr="00402895" w:rsidTr="0014559D">
        <w:trPr>
          <w:trHeight w:val="668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820" w:type="dxa"/>
          </w:tcPr>
          <w:p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</w:t>
            </w:r>
            <w:r w:rsidRPr="00402895">
              <w:rPr>
                <w:rFonts w:eastAsia="Calibri"/>
              </w:rPr>
              <w:lastRenderedPageBreak/>
              <w:t>практики с профильной организацией</w:t>
            </w:r>
          </w:p>
        </w:tc>
      </w:tr>
      <w:tr w:rsidR="009149A2" w:rsidRPr="00402895" w:rsidTr="0014559D">
        <w:trPr>
          <w:trHeight w:val="1251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:rsidTr="0014559D">
        <w:trPr>
          <w:trHeight w:val="1689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</w:tcPr>
          <w:p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заполняет </w:t>
            </w:r>
            <w:r>
              <w:rPr>
                <w:rFonts w:eastAsia="Calibri"/>
              </w:rPr>
              <w:t xml:space="preserve">индивидуальное </w:t>
            </w:r>
            <w:proofErr w:type="gramStart"/>
            <w:r>
              <w:rPr>
                <w:rFonts w:eastAsia="Calibri"/>
              </w:rPr>
              <w:t>задание</w:t>
            </w:r>
            <w:r w:rsidRPr="00402895">
              <w:rPr>
                <w:rFonts w:eastAsia="Calibri"/>
              </w:rPr>
              <w:t xml:space="preserve">  на</w:t>
            </w:r>
            <w:proofErr w:type="gramEnd"/>
            <w:r w:rsidRPr="00402895">
              <w:rPr>
                <w:rFonts w:eastAsia="Calibri"/>
              </w:rPr>
              <w:t xml:space="preserve">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>аммой 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:rsidTr="0014559D">
        <w:trPr>
          <w:trHeight w:val="1225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>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</w:tr>
      <w:tr w:rsidR="0014559D" w:rsidRPr="00402895" w:rsidTr="0014559D">
        <w:trPr>
          <w:trHeight w:val="1766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F55804" w:rsidRPr="00402895" w:rsidTr="0014559D">
        <w:trPr>
          <w:trHeight w:val="1569"/>
        </w:trPr>
        <w:tc>
          <w:tcPr>
            <w:tcW w:w="927" w:type="dxa"/>
          </w:tcPr>
          <w:p w:rsidR="00F55804" w:rsidRPr="00F55804" w:rsidRDefault="00F55804" w:rsidP="00F55804">
            <w:r w:rsidRPr="00F55804"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 w:val="restart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F55804" w:rsidRDefault="00F55804" w:rsidP="00F5580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:rsidR="00F55804" w:rsidRPr="00402895" w:rsidRDefault="00F55804" w:rsidP="00F5580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 назначением и задачами</w:t>
            </w:r>
            <w:r w:rsidRPr="00402895">
              <w:rPr>
                <w:rFonts w:eastAsia="Calibri"/>
              </w:rPr>
              <w:t xml:space="preserve"> организации, ее структуре, функциях </w:t>
            </w:r>
            <w:r w:rsidRPr="00402895">
              <w:rPr>
                <w:rFonts w:eastAsia="Calibri"/>
              </w:rPr>
              <w:lastRenderedPageBreak/>
              <w:t>подразделений, основных направлениях деятельности.</w:t>
            </w:r>
          </w:p>
        </w:tc>
      </w:tr>
      <w:tr w:rsidR="00F55804" w:rsidRPr="00402895" w:rsidTr="00794EBD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:rsidR="00F55804" w:rsidRPr="00F55804" w:rsidRDefault="00F55804" w:rsidP="00F55804">
            <w:r w:rsidRPr="00F55804">
              <w:lastRenderedPageBreak/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F55804" w:rsidRPr="00402895" w:rsidRDefault="00F55804" w:rsidP="00F5580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F55804" w:rsidRPr="00402895" w:rsidTr="007A6903">
        <w:trPr>
          <w:trHeight w:val="1932"/>
        </w:trPr>
        <w:tc>
          <w:tcPr>
            <w:tcW w:w="927" w:type="dxa"/>
          </w:tcPr>
          <w:p w:rsidR="00F55804" w:rsidRPr="00F55804" w:rsidRDefault="00F55804" w:rsidP="00F55804">
            <w:r w:rsidRPr="00F55804"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402895">
              <w:rPr>
                <w:rFonts w:eastAsia="Calibri"/>
              </w:rPr>
              <w:t>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 w:val="restart"/>
          </w:tcPr>
          <w:p w:rsidR="00F55804" w:rsidRPr="008C0707" w:rsidRDefault="00F55804" w:rsidP="00F55804">
            <w:r w:rsidRPr="008C0707">
              <w:t>Промежуточный отчет о прохождении практики</w:t>
            </w:r>
          </w:p>
          <w:p w:rsidR="00F55804" w:rsidRPr="00402895" w:rsidRDefault="00F55804" w:rsidP="00F55804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F55804" w:rsidRPr="00402895" w:rsidTr="0014559D">
        <w:trPr>
          <w:trHeight w:val="1491"/>
        </w:trPr>
        <w:tc>
          <w:tcPr>
            <w:tcW w:w="927" w:type="dxa"/>
          </w:tcPr>
          <w:p w:rsidR="00F55804" w:rsidRPr="00F55804" w:rsidRDefault="00F55804" w:rsidP="00F55804">
            <w:r w:rsidRPr="00F55804"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F55804" w:rsidRPr="00402895" w:rsidTr="003E70CC">
        <w:trPr>
          <w:trHeight w:val="1583"/>
        </w:trPr>
        <w:tc>
          <w:tcPr>
            <w:tcW w:w="927" w:type="dxa"/>
          </w:tcPr>
          <w:p w:rsidR="00F55804" w:rsidRPr="00F55804" w:rsidRDefault="00F55804" w:rsidP="00F55804">
            <w:r w:rsidRPr="00F55804"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F55804" w:rsidRPr="00402895" w:rsidRDefault="00F55804" w:rsidP="00F5580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F55804" w:rsidRPr="00402895" w:rsidTr="0014559D">
        <w:trPr>
          <w:trHeight w:val="1680"/>
        </w:trPr>
        <w:tc>
          <w:tcPr>
            <w:tcW w:w="927" w:type="dxa"/>
          </w:tcPr>
          <w:p w:rsidR="00F55804" w:rsidRPr="00F55804" w:rsidRDefault="00F55804" w:rsidP="00F55804">
            <w:r w:rsidRPr="00F55804">
              <w:t>ПК-2,</w:t>
            </w:r>
          </w:p>
          <w:p w:rsidR="00F55804" w:rsidRPr="00F55804" w:rsidRDefault="00F55804" w:rsidP="00F55804">
            <w:pPr>
              <w:rPr>
                <w:rFonts w:eastAsia="Calibri"/>
                <w:color w:val="000000"/>
              </w:rPr>
            </w:pPr>
            <w:r w:rsidRPr="00F55804">
              <w:rPr>
                <w:rFonts w:eastAsia="Calibri"/>
                <w:color w:val="000000"/>
              </w:rPr>
              <w:t>ПК-13</w:t>
            </w:r>
          </w:p>
        </w:tc>
        <w:tc>
          <w:tcPr>
            <w:tcW w:w="1413" w:type="dxa"/>
            <w:vMerge w:val="restart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:rsidR="00F55804" w:rsidRPr="00402895" w:rsidRDefault="00F55804" w:rsidP="00F558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F55804" w:rsidRPr="00402895" w:rsidRDefault="00F55804" w:rsidP="00F55804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A6903" w:rsidRPr="00402895" w:rsidTr="0014559D">
        <w:trPr>
          <w:trHeight w:val="3566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A6903" w:rsidRPr="00402895" w:rsidTr="0014559D">
        <w:trPr>
          <w:trHeight w:val="890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Студент защищает отчет по практике</w:t>
            </w:r>
          </w:p>
        </w:tc>
      </w:tr>
    </w:tbl>
    <w:p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bookmarkStart w:id="3" w:name="_Hlk94709699"/>
      <w:bookmarkStart w:id="4" w:name="_Hlk94557101"/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3"/>
    <w:p w:rsidR="00D97E97" w:rsidRDefault="00D97E97" w:rsidP="00D97E97">
      <w:pPr>
        <w:ind w:firstLine="567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Промежуточная аттестация</w:t>
      </w:r>
      <w:r>
        <w:rPr>
          <w:b/>
          <w:bCs/>
          <w:sz w:val="28"/>
          <w:szCs w:val="28"/>
          <w:lang w:bidi="en-US"/>
        </w:rPr>
        <w:t xml:space="preserve"> </w:t>
      </w:r>
      <w:r>
        <w:rPr>
          <w:bCs/>
          <w:sz w:val="28"/>
          <w:szCs w:val="28"/>
          <w:lang w:bidi="en-US"/>
        </w:rPr>
        <w:t>обучающихся</w:t>
      </w:r>
      <w:r>
        <w:rPr>
          <w:sz w:val="28"/>
          <w:szCs w:val="28"/>
          <w:lang w:bidi="en-US"/>
        </w:rPr>
        <w:t xml:space="preserve"> </w:t>
      </w:r>
      <w:r>
        <w:rPr>
          <w:bCs/>
          <w:sz w:val="28"/>
          <w:szCs w:val="28"/>
          <w:lang w:bidi="en-US"/>
        </w:rPr>
        <w:t>по практике</w:t>
      </w:r>
      <w:r>
        <w:rPr>
          <w:sz w:val="28"/>
          <w:szCs w:val="28"/>
          <w:lang w:bidi="en-US"/>
        </w:rPr>
        <w:t xml:space="preserve"> осуществляется в форме</w:t>
      </w:r>
      <w:r w:rsidR="00C95CF5">
        <w:rPr>
          <w:sz w:val="28"/>
          <w:szCs w:val="28"/>
          <w:lang w:bidi="en-US"/>
        </w:rPr>
        <w:t xml:space="preserve"> </w:t>
      </w:r>
      <w:r w:rsidR="00C95CF5">
        <w:rPr>
          <w:sz w:val="28"/>
          <w:szCs w:val="28"/>
        </w:rPr>
        <w:t>зачета</w:t>
      </w:r>
      <w:r>
        <w:rPr>
          <w:sz w:val="28"/>
          <w:szCs w:val="28"/>
          <w:lang w:bidi="en-US"/>
        </w:rPr>
        <w:t>, проводимого в виде защиты отчета по практике.</w:t>
      </w:r>
    </w:p>
    <w:p w:rsidR="0064148E" w:rsidRPr="007E6517" w:rsidRDefault="0064148E" w:rsidP="0064148E">
      <w:pPr>
        <w:ind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К основным компонентам отчетной документации прохождения практики относятся:</w:t>
      </w:r>
    </w:p>
    <w:bookmarkEnd w:id="4"/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A6903">
        <w:rPr>
          <w:sz w:val="28"/>
          <w:szCs w:val="28"/>
        </w:rPr>
        <w:t>ознакомительной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5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5"/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6" w:name="_Hlk100692296"/>
      <w:r>
        <w:rPr>
          <w:b/>
          <w:sz w:val="28"/>
          <w:szCs w:val="28"/>
        </w:rPr>
        <w:t>4. Отчетность по практике</w:t>
      </w:r>
    </w:p>
    <w:p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F92B84">
        <w:rPr>
          <w:bCs/>
          <w:sz w:val="28"/>
          <w:szCs w:val="28"/>
        </w:rPr>
        <w:t xml:space="preserve">отражается участие студента-практиканта в организационно-творческой работе базового учреждения, делаются выводы об освоенных в процессе прохождения </w:t>
      </w:r>
      <w:r w:rsidR="007A6903">
        <w:rPr>
          <w:bCs/>
          <w:sz w:val="28"/>
          <w:szCs w:val="28"/>
        </w:rPr>
        <w:t>ознакомительной</w:t>
      </w:r>
      <w:r w:rsidRPr="00F92B84">
        <w:rPr>
          <w:bCs/>
          <w:sz w:val="28"/>
          <w:szCs w:val="28"/>
        </w:rPr>
        <w:t xml:space="preserve">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92B84" w:rsidRPr="00F92B84" w:rsidRDefault="00F92B84" w:rsidP="00F92B84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t xml:space="preserve">Студент-практикант анализирует, что удалось сделать, что не удалось, чем помогла </w:t>
      </w:r>
      <w:r w:rsidR="007A6903">
        <w:rPr>
          <w:bCs/>
          <w:sz w:val="28"/>
          <w:szCs w:val="28"/>
        </w:rPr>
        <w:t>ознакомительная</w:t>
      </w:r>
      <w:r w:rsidRPr="00F92B84">
        <w:rPr>
          <w:bCs/>
          <w:sz w:val="28"/>
          <w:szCs w:val="28"/>
        </w:rPr>
        <w:t xml:space="preserve">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92B84" w:rsidRPr="00F92B84" w:rsidRDefault="00F92B84" w:rsidP="00F92B84">
      <w:pPr>
        <w:spacing w:line="276" w:lineRule="auto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6"/>
    <w:p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 xml:space="preserve">К защите допускаются студенты, своевременно и в полном объеме </w:t>
      </w:r>
      <w:proofErr w:type="gramStart"/>
      <w:r w:rsidRPr="00A97AA3">
        <w:rPr>
          <w:sz w:val="28"/>
          <w:szCs w:val="28"/>
        </w:rPr>
        <w:t>выполнившие задания практики</w:t>
      </w:r>
      <w:proofErr w:type="gramEnd"/>
      <w:r w:rsidRPr="00A97AA3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EE2218" w:rsidRDefault="00EE2218" w:rsidP="00EE2218">
      <w:pPr>
        <w:ind w:firstLine="709"/>
        <w:jc w:val="both"/>
        <w:rPr>
          <w:sz w:val="28"/>
          <w:szCs w:val="28"/>
        </w:rPr>
      </w:pPr>
      <w:bookmarkStart w:id="7" w:name="_Hlk100785470"/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>руководителю и групповому руководителю практики. Защита практики (</w:t>
      </w:r>
      <w:r w:rsidR="00D97E97">
        <w:rPr>
          <w:sz w:val="28"/>
          <w:szCs w:val="28"/>
        </w:rPr>
        <w:t>контрольная работа)</w:t>
      </w:r>
      <w:r w:rsidRPr="007A27A4">
        <w:rPr>
          <w:sz w:val="28"/>
          <w:szCs w:val="28"/>
        </w:rPr>
        <w:t xml:space="preserve"> проходит в</w:t>
      </w:r>
      <w:r w:rsidR="00D97E97">
        <w:rPr>
          <w:sz w:val="28"/>
          <w:szCs w:val="28"/>
        </w:rPr>
        <w:t>о</w:t>
      </w:r>
      <w:r w:rsidRPr="007A27A4">
        <w:rPr>
          <w:sz w:val="28"/>
          <w:szCs w:val="28"/>
        </w:rPr>
        <w:t xml:space="preserve"> </w:t>
      </w:r>
      <w:r w:rsidR="00D97E97">
        <w:rPr>
          <w:sz w:val="28"/>
          <w:szCs w:val="28"/>
        </w:rPr>
        <w:t>2</w:t>
      </w:r>
      <w:r w:rsidRPr="007A27A4">
        <w:rPr>
          <w:sz w:val="28"/>
          <w:szCs w:val="28"/>
        </w:rPr>
        <w:t xml:space="preserve"> семестре для </w:t>
      </w:r>
      <w:r>
        <w:rPr>
          <w:sz w:val="28"/>
          <w:szCs w:val="28"/>
        </w:rPr>
        <w:t>очного</w:t>
      </w:r>
      <w:r w:rsidRPr="007A27A4">
        <w:rPr>
          <w:sz w:val="28"/>
          <w:szCs w:val="28"/>
        </w:rPr>
        <w:t xml:space="preserve"> и в </w:t>
      </w:r>
      <w:r w:rsidR="00D97E97">
        <w:rPr>
          <w:sz w:val="28"/>
          <w:szCs w:val="28"/>
        </w:rPr>
        <w:t>4</w:t>
      </w:r>
      <w:r w:rsidRPr="007A27A4">
        <w:rPr>
          <w:sz w:val="28"/>
          <w:szCs w:val="28"/>
        </w:rPr>
        <w:t xml:space="preserve"> семестре для заочного отделения.</w:t>
      </w:r>
    </w:p>
    <w:bookmarkEnd w:id="7"/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277376" w:rsidRDefault="00277376" w:rsidP="00277376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bookmarkStart w:id="8" w:name="_Hlk102573868"/>
      <w:r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9" w:name="_Hlk100758405"/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>
        <w:rPr>
          <w:color w:val="000000"/>
          <w:sz w:val="28"/>
          <w:szCs w:val="28"/>
        </w:rPr>
        <w:t>несформированностью</w:t>
      </w:r>
      <w:proofErr w:type="spellEnd"/>
      <w:r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bookmarkEnd w:id="9"/>
    <w:p w:rsidR="00277376" w:rsidRDefault="00277376" w:rsidP="00277376">
      <w:pPr>
        <w:pStyle w:val="af1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Форма отчетности по практике –ЗАЧЕТ. За практику выставляется оценка: «зачтено» или «не зачтено».</w:t>
      </w:r>
      <w:r>
        <w:rPr>
          <w:color w:val="000000"/>
          <w:sz w:val="28"/>
          <w:szCs w:val="28"/>
        </w:rPr>
        <w:t xml:space="preserve"> </w:t>
      </w:r>
    </w:p>
    <w:bookmarkEnd w:id="8"/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</w:p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>
        <w:rPr>
          <w:vertAlign w:val="superscript"/>
        </w:rPr>
        <w:footnoteReference w:id="1"/>
      </w:r>
      <w:r>
        <w:rPr>
          <w:b/>
          <w:sz w:val="28"/>
          <w:szCs w:val="28"/>
        </w:rPr>
        <w:t xml:space="preserve"> за прохождение учебной (ознакомительной) практики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получению профессиональных умений и навыков:</w:t>
      </w:r>
    </w:p>
    <w:p w:rsidR="00277376" w:rsidRDefault="00277376" w:rsidP="00277376">
      <w:pPr>
        <w:ind w:firstLine="709"/>
        <w:jc w:val="both"/>
        <w:rPr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принципы оценки педагогических результатов учебной (ознакомительной) практики</w:t>
      </w: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оценка успеваемости студента в ходе учебной практики складывается путём оценивания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Критерии оценивания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 оценки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- полностью решены все поставленные задачи;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сданы все необходимые документы;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color w:val="000000"/>
                <w:lang w:eastAsia="en-US"/>
              </w:rPr>
            </w:pP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практикант допустил минимальное количество ошибок.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>
              <w:rPr>
                <w:sz w:val="22"/>
                <w:szCs w:val="22"/>
                <w:lang w:eastAsia="en-US"/>
              </w:rPr>
              <w:t>операциональные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 наличие претензий у руководителей и т.д.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>
              <w:rPr>
                <w:lang w:eastAsia="en-US"/>
              </w:rPr>
              <w:t>операциональные</w:t>
            </w:r>
            <w:proofErr w:type="spellEnd"/>
            <w:r>
              <w:rPr>
                <w:lang w:eastAsia="en-US"/>
              </w:rPr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277376" w:rsidRDefault="00277376" w:rsidP="00277376">
      <w:pPr>
        <w:ind w:left="-20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5234" w:type="dxa"/>
            <w:hideMark/>
          </w:tcPr>
          <w:p w:rsidR="00277376" w:rsidRDefault="0027737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Показатели, используемые для оценивания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0" w:type="dxa"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Сформированность</w:t>
            </w:r>
            <w:proofErr w:type="spellEnd"/>
            <w:r>
              <w:rPr>
                <w:lang w:eastAsia="en-US"/>
              </w:rPr>
              <w:t xml:space="preserve"> запланированных знаний, учений и навыков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3. готовность к анализу деятельности учреждений культуры разных типов и видов по заданной схеме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Соблюдение трудовой дисциплины</w:t>
            </w: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1.полнота выполнения требований программы и руководителей практики.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60" w:type="dxa"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Качество оформления отчётной документации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1.оценка, полученная по месту прохождения практики.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3.вовремя представленный, аккуратно и правильно оформленный пакет отчётных документов.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4.характер участие в итоговой конференции</w:t>
            </w:r>
          </w:p>
        </w:tc>
      </w:tr>
    </w:tbl>
    <w:p w:rsidR="00277376" w:rsidRDefault="00277376" w:rsidP="00277376">
      <w:pPr>
        <w:ind w:firstLine="709"/>
        <w:jc w:val="both"/>
        <w:rPr>
          <w:sz w:val="28"/>
          <w:szCs w:val="28"/>
          <w:lang w:eastAsia="en-US"/>
        </w:rPr>
      </w:pPr>
    </w:p>
    <w:p w:rsidR="00EE5EBA" w:rsidRDefault="00EE5EBA" w:rsidP="00277376">
      <w:pPr>
        <w:ind w:firstLine="709"/>
        <w:jc w:val="both"/>
        <w:rPr>
          <w:sz w:val="28"/>
          <w:szCs w:val="28"/>
          <w:lang w:eastAsia="en-US"/>
        </w:rPr>
      </w:pPr>
    </w:p>
    <w:p w:rsidR="00EE5EBA" w:rsidRDefault="00EE5EBA" w:rsidP="00277376">
      <w:pPr>
        <w:ind w:firstLine="709"/>
        <w:jc w:val="both"/>
        <w:rPr>
          <w:sz w:val="28"/>
          <w:szCs w:val="28"/>
          <w:lang w:eastAsia="en-US"/>
        </w:rPr>
      </w:pPr>
    </w:p>
    <w:p w:rsidR="00277376" w:rsidRDefault="00277376" w:rsidP="00277376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на зачете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277376" w:rsidRDefault="00277376" w:rsidP="00277376">
      <w:pPr>
        <w:ind w:firstLine="709"/>
        <w:jc w:val="both"/>
        <w:rPr>
          <w:sz w:val="28"/>
          <w:szCs w:val="28"/>
          <w:lang w:eastAsia="en-US"/>
        </w:rPr>
      </w:pPr>
    </w:p>
    <w:p w:rsidR="00277376" w:rsidRDefault="00277376" w:rsidP="00277376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277376" w:rsidRDefault="00277376" w:rsidP="00277376">
      <w:pPr>
        <w:pStyle w:val="af1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Аттестация по итогам учебной (ознакомительной) 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277376" w:rsidRDefault="00277376" w:rsidP="00277376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>
        <w:rPr>
          <w:rStyle w:val="s7"/>
          <w:color w:val="000000"/>
          <w:sz w:val="28"/>
          <w:szCs w:val="28"/>
        </w:rPr>
        <w:t>сформированности</w:t>
      </w:r>
      <w:proofErr w:type="spellEnd"/>
      <w:r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277376" w:rsidRPr="00F560EA" w:rsidRDefault="00277376" w:rsidP="00F560EA">
      <w:pPr>
        <w:pStyle w:val="p52"/>
        <w:shd w:val="clear" w:color="auto" w:fill="FFFFFF"/>
        <w:spacing w:before="0" w:beforeAutospacing="0" w:after="0" w:afterAutospacing="0"/>
        <w:ind w:firstLine="567"/>
        <w:jc w:val="both"/>
        <w:rPr>
          <w:rStyle w:val="s7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Снижаются оценки за нарушение сроков сдачи отчёта, за </w:t>
      </w:r>
      <w:r w:rsidRPr="00F560EA">
        <w:rPr>
          <w:rStyle w:val="s7"/>
          <w:color w:val="000000"/>
          <w:sz w:val="28"/>
          <w:szCs w:val="28"/>
        </w:rPr>
        <w:t>необоснованные пропуски либо отказы от выполнения каких-либо заданий, за небрежное ведение дневника.</w:t>
      </w:r>
    </w:p>
    <w:p w:rsidR="00F560EA" w:rsidRPr="00F560EA" w:rsidRDefault="00F560EA" w:rsidP="00F560EA">
      <w:pPr>
        <w:pStyle w:val="af1"/>
        <w:ind w:left="1996"/>
        <w:contextualSpacing w:val="0"/>
        <w:jc w:val="center"/>
        <w:rPr>
          <w:b/>
          <w:sz w:val="28"/>
          <w:szCs w:val="28"/>
        </w:rPr>
      </w:pPr>
    </w:p>
    <w:p w:rsidR="00F560EA" w:rsidRPr="00F560EA" w:rsidRDefault="00F560EA" w:rsidP="00F560EA">
      <w:pPr>
        <w:pStyle w:val="af1"/>
        <w:ind w:left="0"/>
        <w:contextualSpacing w:val="0"/>
        <w:jc w:val="center"/>
        <w:rPr>
          <w:b/>
          <w:sz w:val="28"/>
          <w:szCs w:val="28"/>
        </w:rPr>
      </w:pPr>
      <w:r w:rsidRPr="00F560EA">
        <w:rPr>
          <w:b/>
          <w:sz w:val="28"/>
          <w:szCs w:val="28"/>
        </w:rPr>
        <w:t>Презентация отчета учебной (ознакомительной) практики</w:t>
      </w:r>
    </w:p>
    <w:p w:rsidR="00F560EA" w:rsidRPr="00F560EA" w:rsidRDefault="00F560EA" w:rsidP="00F560EA">
      <w:pPr>
        <w:jc w:val="center"/>
        <w:rPr>
          <w:rFonts w:eastAsia="Calibri"/>
          <w:b/>
          <w:sz w:val="28"/>
          <w:szCs w:val="28"/>
        </w:rPr>
      </w:pPr>
      <w:r w:rsidRPr="00F560EA">
        <w:rPr>
          <w:rFonts w:eastAsia="Calibri"/>
          <w:b/>
          <w:sz w:val="28"/>
          <w:szCs w:val="28"/>
        </w:rPr>
        <w:t>Критерии оценки презентации доклада учебной (ознакомительной) практики:</w:t>
      </w:r>
    </w:p>
    <w:p w:rsidR="00F560EA" w:rsidRPr="00F560EA" w:rsidRDefault="00F560EA" w:rsidP="00F560EA">
      <w:pPr>
        <w:jc w:val="center"/>
        <w:rPr>
          <w:rFonts w:eastAsia="Calibri"/>
          <w:color w:val="FF0000"/>
          <w:sz w:val="28"/>
          <w:szCs w:val="28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842"/>
        <w:gridCol w:w="1984"/>
        <w:gridCol w:w="2694"/>
        <w:gridCol w:w="2410"/>
      </w:tblGrid>
      <w:tr w:rsidR="00F560EA" w:rsidRPr="00C308FD" w:rsidTr="006F37FB">
        <w:tc>
          <w:tcPr>
            <w:tcW w:w="1101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ind w:firstLine="400"/>
              <w:jc w:val="both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Минимальный ответ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Изложенный, </w:t>
            </w:r>
          </w:p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раскрытый ответ</w:t>
            </w:r>
          </w:p>
          <w:p w:rsidR="00F560EA" w:rsidRPr="00C308FD" w:rsidRDefault="00F560EA" w:rsidP="006F37FB">
            <w:pPr>
              <w:widowControl w:val="0"/>
              <w:ind w:firstLine="40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Законченный,</w:t>
            </w:r>
          </w:p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полный ответ</w:t>
            </w:r>
          </w:p>
          <w:p w:rsidR="00F560EA" w:rsidRPr="00C308FD" w:rsidRDefault="00F560EA" w:rsidP="006F37FB">
            <w:pPr>
              <w:widowControl w:val="0"/>
              <w:ind w:firstLine="40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Образцовый, </w:t>
            </w:r>
          </w:p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примерный ответ</w:t>
            </w:r>
          </w:p>
        </w:tc>
      </w:tr>
      <w:tr w:rsidR="00F560EA" w:rsidRPr="00C308FD" w:rsidTr="006F37FB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6F37FB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Раскрытие </w:t>
            </w:r>
          </w:p>
          <w:p w:rsidR="00F560EA" w:rsidRPr="00C308FD" w:rsidRDefault="00F560EA" w:rsidP="006F37FB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проблемы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не раскрыта. Отсутствуют выводы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 не полностью. Выводы не сделаны и/или выводы не обоснованы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раскрыта. Проведен анализ проблемы без привлечения дополнительной литературы. Не все выводы сделаны и/или обоснованы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 полностью. Проведен анализ проблемы с привлечением дополнительной литературы. Выводы обоснованы</w:t>
            </w:r>
          </w:p>
        </w:tc>
      </w:tr>
      <w:tr w:rsidR="00F560EA" w:rsidRPr="00C308FD" w:rsidTr="006F37FB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6F37FB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Представление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логически не связана. Не использованы профессиональные термины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 и/или не последовательна. Использовано 1-2 профессиональных термина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 и последовательна. Использовано более 2 профессиональных терминов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систематизирована, последовательна и логически связана. Использовано более 5 профессиональных терминов</w:t>
            </w:r>
          </w:p>
        </w:tc>
      </w:tr>
      <w:tr w:rsidR="00F560EA" w:rsidRPr="00C308FD" w:rsidTr="006F37FB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6F37FB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Оформление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Не 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>. Больше 4 ошибок в представляемой информации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частично. 3-4 ошибки в представляемой информации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>. Не более 2 ошибок в представляемой информации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Широко использованы технологии (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и др.). Отсутствуют ошибки в представляемой информации</w:t>
            </w:r>
          </w:p>
        </w:tc>
      </w:tr>
      <w:tr w:rsidR="00F560EA" w:rsidRPr="00C308FD" w:rsidTr="006F37FB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6F37FB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Нет ответов на вопросы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Только ответы на элементарные вопросы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 на вопросы полные и/или частично полные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 на вопросы полные с привидением примеров и/или пояснений</w:t>
            </w:r>
          </w:p>
        </w:tc>
      </w:tr>
      <w:tr w:rsidR="00F560EA" w:rsidRPr="00C308FD" w:rsidTr="006F37FB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6F37FB">
            <w:pPr>
              <w:widowControl w:val="0"/>
              <w:ind w:left="113" w:right="113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Оценка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неудовлетворительно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удовлетворительно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хорошо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6F37FB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отлично</w:t>
            </w:r>
          </w:p>
        </w:tc>
      </w:tr>
    </w:tbl>
    <w:p w:rsidR="00277376" w:rsidRDefault="00277376" w:rsidP="00277376">
      <w:pPr>
        <w:ind w:firstLine="709"/>
        <w:jc w:val="both"/>
        <w:rPr>
          <w:b/>
        </w:rPr>
      </w:pPr>
    </w:p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>
        <w:rPr>
          <w:vertAlign w:val="superscript"/>
        </w:rPr>
        <w:footnoteReference w:id="2"/>
      </w:r>
      <w:r>
        <w:rPr>
          <w:b/>
          <w:sz w:val="28"/>
          <w:szCs w:val="28"/>
        </w:rPr>
        <w:t xml:space="preserve"> за прохождение учебной практики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получению первичных профессиональных умений и навыков:</w:t>
      </w:r>
    </w:p>
    <w:p w:rsidR="00277376" w:rsidRDefault="00277376" w:rsidP="0027737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277376" w:rsidTr="00277376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277376" w:rsidRDefault="0027737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практике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практике</w:t>
            </w:r>
          </w:p>
        </w:tc>
      </w:tr>
      <w:tr w:rsidR="00277376" w:rsidTr="00277376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277376" w:rsidRDefault="00277376">
            <w:pPr>
              <w:jc w:val="both"/>
              <w:rPr>
                <w:i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>), закрепленная за практикой,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rStyle w:val="s7"/>
                <w:color w:val="000000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</w:tc>
      </w:tr>
      <w:tr w:rsidR="00277376" w:rsidTr="00277376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both"/>
              <w:rPr>
                <w:rFonts w:cstheme="minorBidi"/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76" w:rsidRDefault="00277376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практике.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277376" w:rsidRDefault="00277376">
            <w:pPr>
              <w:jc w:val="both"/>
              <w:rPr>
                <w:iCs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>, закреплённые за практикой, не сформированы. 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практикой, не сформированы. </w:t>
            </w:r>
          </w:p>
          <w:p w:rsidR="00277376" w:rsidRDefault="00277376" w:rsidP="00C32483">
            <w:pPr>
              <w:pStyle w:val="p52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</w:rPr>
            </w:pPr>
            <w:r>
              <w:rPr>
                <w:rStyle w:val="s7"/>
                <w:color w:val="000000"/>
                <w:lang w:eastAsia="en-US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  <w:bookmarkStart w:id="10" w:name="_GoBack"/>
            <w:bookmarkEnd w:id="10"/>
          </w:p>
        </w:tc>
      </w:tr>
    </w:tbl>
    <w:p w:rsidR="00277376" w:rsidRDefault="00277376" w:rsidP="00277376">
      <w:pPr>
        <w:ind w:firstLine="709"/>
        <w:jc w:val="both"/>
        <w:rPr>
          <w:rFonts w:cstheme="minorBidi"/>
          <w:b/>
          <w:sz w:val="28"/>
          <w:szCs w:val="28"/>
          <w:lang w:eastAsia="en-US"/>
        </w:rPr>
      </w:pPr>
    </w:p>
    <w:p w:rsidR="00F560EA" w:rsidRDefault="00F560EA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560EA" w:rsidRDefault="00F560EA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E5EBA" w:rsidRDefault="00EE5EBA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 w:rsidRPr="0004270B">
        <w:rPr>
          <w:color w:val="000000"/>
        </w:rPr>
        <w:t>Разработан  в</w:t>
      </w:r>
      <w:proofErr w:type="gramEnd"/>
      <w:r w:rsidRPr="0004270B">
        <w:rPr>
          <w:color w:val="000000"/>
        </w:rPr>
        <w:t xml:space="preserve"> соответствии с требованиями ФГОС ВО по </w:t>
      </w:r>
      <w:r w:rsidRPr="0004270B">
        <w:rPr>
          <w:b/>
          <w:color w:val="000000"/>
        </w:rPr>
        <w:t>направлению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b/>
          <w:color w:val="000000"/>
        </w:rPr>
        <w:t>51.03.03 «Социально-культурная деятельность</w:t>
      </w:r>
      <w:r w:rsidRPr="0004270B">
        <w:rPr>
          <w:color w:val="000000"/>
        </w:rPr>
        <w:t>, профилю «</w:t>
      </w:r>
      <w:r w:rsidRPr="0004270B">
        <w:rPr>
          <w:b/>
          <w:color w:val="000000"/>
        </w:rPr>
        <w:t>Менеджмент и технологии социально-культурной деятельности».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Составители: 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Ярошенко Н.Н., доктор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профессор</w:t>
      </w:r>
    </w:p>
    <w:p w:rsidR="00CC44CE" w:rsidRPr="0004270B" w:rsidRDefault="0086075A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bookmarkStart w:id="11" w:name="_Hlk100757198"/>
      <w:r>
        <w:rPr>
          <w:lang w:eastAsia="zh-CN"/>
        </w:rPr>
        <w:t xml:space="preserve">Ванина О.В., кандидат </w:t>
      </w:r>
      <w:proofErr w:type="spellStart"/>
      <w:r>
        <w:rPr>
          <w:lang w:eastAsia="zh-CN"/>
        </w:rPr>
        <w:t>пед</w:t>
      </w:r>
      <w:proofErr w:type="spellEnd"/>
      <w:r>
        <w:rPr>
          <w:lang w:eastAsia="zh-CN"/>
        </w:rPr>
        <w:t>.</w:t>
      </w:r>
      <w:r w:rsidRPr="0004270B">
        <w:rPr>
          <w:color w:val="000000"/>
        </w:rPr>
        <w:t xml:space="preserve"> наук, доцент</w:t>
      </w:r>
      <w:bookmarkEnd w:id="11"/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Северова Л.А., кандидат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доцент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i/>
          <w:lang w:eastAsia="zh-CN"/>
        </w:rPr>
      </w:pPr>
    </w:p>
    <w:sectPr w:rsidR="00CC44CE" w:rsidRPr="0004270B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91" w:rsidRDefault="000B1A91" w:rsidP="007152B4">
      <w:r>
        <w:separator/>
      </w:r>
    </w:p>
  </w:endnote>
  <w:endnote w:type="continuationSeparator" w:id="0">
    <w:p w:rsidR="000B1A91" w:rsidRDefault="000B1A91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91" w:rsidRDefault="000B1A91" w:rsidP="007152B4">
      <w:r>
        <w:separator/>
      </w:r>
    </w:p>
  </w:footnote>
  <w:footnote w:type="continuationSeparator" w:id="0">
    <w:p w:rsidR="000B1A91" w:rsidRDefault="000B1A91" w:rsidP="007152B4">
      <w:r>
        <w:continuationSeparator/>
      </w:r>
    </w:p>
  </w:footnote>
  <w:footnote w:id="1">
    <w:p w:rsidR="006F37FB" w:rsidRDefault="006F37FB" w:rsidP="00277376">
      <w:pPr>
        <w:pStyle w:val="aff0"/>
        <w:jc w:val="both"/>
        <w:rPr>
          <w:i/>
          <w:sz w:val="18"/>
          <w:szCs w:val="18"/>
        </w:rPr>
      </w:pPr>
      <w:r>
        <w:rPr>
          <w:rStyle w:val="aff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  <w:footnote w:id="2">
    <w:p w:rsidR="006F37FB" w:rsidRDefault="006F37FB" w:rsidP="00277376">
      <w:pPr>
        <w:pStyle w:val="aff0"/>
        <w:jc w:val="both"/>
        <w:rPr>
          <w:i/>
          <w:sz w:val="18"/>
          <w:szCs w:val="18"/>
        </w:rPr>
      </w:pPr>
      <w:r>
        <w:rPr>
          <w:rStyle w:val="aff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B1B13"/>
    <w:multiLevelType w:val="hybridMultilevel"/>
    <w:tmpl w:val="A9187FE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15A4D"/>
    <w:multiLevelType w:val="hybridMultilevel"/>
    <w:tmpl w:val="07688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22"/>
  </w:num>
  <w:num w:numId="6">
    <w:abstractNumId w:val="31"/>
  </w:num>
  <w:num w:numId="7">
    <w:abstractNumId w:val="8"/>
  </w:num>
  <w:num w:numId="8">
    <w:abstractNumId w:val="14"/>
  </w:num>
  <w:num w:numId="9">
    <w:abstractNumId w:val="27"/>
  </w:num>
  <w:num w:numId="10">
    <w:abstractNumId w:val="11"/>
  </w:num>
  <w:num w:numId="11">
    <w:abstractNumId w:val="5"/>
  </w:num>
  <w:num w:numId="12">
    <w:abstractNumId w:val="15"/>
  </w:num>
  <w:num w:numId="13">
    <w:abstractNumId w:val="6"/>
  </w:num>
  <w:num w:numId="14">
    <w:abstractNumId w:val="19"/>
  </w:num>
  <w:num w:numId="15">
    <w:abstractNumId w:val="21"/>
  </w:num>
  <w:num w:numId="16">
    <w:abstractNumId w:val="16"/>
  </w:num>
  <w:num w:numId="17">
    <w:abstractNumId w:val="32"/>
  </w:num>
  <w:num w:numId="18">
    <w:abstractNumId w:val="18"/>
  </w:num>
  <w:num w:numId="19">
    <w:abstractNumId w:val="9"/>
  </w:num>
  <w:num w:numId="20">
    <w:abstractNumId w:val="29"/>
  </w:num>
  <w:num w:numId="21">
    <w:abstractNumId w:val="4"/>
  </w:num>
  <w:num w:numId="22">
    <w:abstractNumId w:val="20"/>
  </w:num>
  <w:num w:numId="23">
    <w:abstractNumId w:val="23"/>
  </w:num>
  <w:num w:numId="24">
    <w:abstractNumId w:val="33"/>
  </w:num>
  <w:num w:numId="25">
    <w:abstractNumId w:val="13"/>
  </w:num>
  <w:num w:numId="26">
    <w:abstractNumId w:val="30"/>
  </w:num>
  <w:num w:numId="27">
    <w:abstractNumId w:val="26"/>
  </w:num>
  <w:num w:numId="28">
    <w:abstractNumId w:val="1"/>
  </w:num>
  <w:num w:numId="29">
    <w:abstractNumId w:val="0"/>
  </w:num>
  <w:num w:numId="30">
    <w:abstractNumId w:val="12"/>
  </w:num>
  <w:num w:numId="31">
    <w:abstractNumId w:val="25"/>
  </w:num>
  <w:num w:numId="32">
    <w:abstractNumId w:val="24"/>
  </w:num>
  <w:num w:numId="33">
    <w:abstractNumId w:val="9"/>
  </w:num>
  <w:num w:numId="34">
    <w:abstractNumId w:val="29"/>
  </w:num>
  <w:num w:numId="35">
    <w:abstractNumId w:val="4"/>
  </w:num>
  <w:num w:numId="36">
    <w:abstractNumId w:val="2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A9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8AC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376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639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9B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BE2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DD4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049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091F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4DA4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5D2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7FB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4EBD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903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3DF9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75A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0F01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26DD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1C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B6A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2483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CF5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B24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97E97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71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650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3E1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5EBA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804"/>
    <w:rsid w:val="00F55FDA"/>
    <w:rsid w:val="00F55FF6"/>
    <w:rsid w:val="00F56093"/>
    <w:rsid w:val="00F560EA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D2B"/>
    <w:rsid w:val="00FE4F2F"/>
    <w:rsid w:val="00FE52BF"/>
    <w:rsid w:val="00FE54ED"/>
    <w:rsid w:val="00FE5894"/>
    <w:rsid w:val="00FE5D3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B7545-8C9B-44A5-BE5E-7AB97CB8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uiPriority w:val="34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15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 Александровна Всехсвятская</cp:lastModifiedBy>
  <cp:revision>43</cp:revision>
  <dcterms:created xsi:type="dcterms:W3CDTF">2019-02-27T16:25:00Z</dcterms:created>
  <dcterms:modified xsi:type="dcterms:W3CDTF">2024-05-07T14:47:00Z</dcterms:modified>
</cp:coreProperties>
</file>